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03" w:rsidRDefault="00980103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D4297" w:rsidRPr="00A4157C" w:rsidRDefault="003D4297" w:rsidP="00C07FEF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 громадян </w:t>
      </w:r>
      <w:r w:rsidR="00C07F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Київському міському територіальному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ц</w:t>
      </w:r>
      <w:r w:rsidR="00C07FEF">
        <w:rPr>
          <w:rFonts w:ascii="Times New Roman" w:hAnsi="Times New Roman" w:cs="Times New Roman"/>
          <w:b/>
          <w:sz w:val="26"/>
          <w:szCs w:val="26"/>
          <w:lang w:val="uk-UA"/>
        </w:rPr>
        <w:t>ентрі соціального обслуговування за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01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C07F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3B672D">
        <w:rPr>
          <w:rFonts w:ascii="Times New Roman" w:hAnsi="Times New Roman"/>
          <w:b/>
          <w:sz w:val="26"/>
          <w:szCs w:val="26"/>
          <w:lang w:val="uk-UA"/>
        </w:rPr>
        <w:t>Організація роботи зі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 xml:space="preserve">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C15F93" w:rsidRPr="00220BA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вання від 07.02.2008 № 109/2008;</w:t>
      </w:r>
    </w:p>
    <w:p w:rsidR="00220BAC" w:rsidRPr="00220BAC" w:rsidRDefault="003B672D" w:rsidP="003B672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en-US"/>
        </w:rPr>
        <w:t xml:space="preserve">     </w:t>
      </w:r>
      <w:r w:rsid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Типовою інструкцією</w:t>
      </w:r>
      <w:r w:rsidR="00220BAC"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з документування управлінської інформації                                                       в електронній формі та організації роботи з електронними документами в діловодстві, електронного міжвідомчого обміну</w:t>
      </w:r>
      <w:r w:rsid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, затвердженою 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</w:t>
      </w:r>
      <w:r w:rsid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остановою Кабінету Міністрів України від 17.01.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2018 </w:t>
      </w:r>
      <w:r w:rsid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№ 55 «</w:t>
      </w:r>
      <w:r w:rsidR="00220BAC"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Деякі питання документування управлінської діяльності</w:t>
      </w:r>
      <w:r w:rsid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»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</w:t>
      </w:r>
    </w:p>
    <w:p w:rsid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</w:t>
      </w:r>
    </w:p>
    <w:p w:rsidR="00C15F93" w:rsidRP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C15F93" w:rsidRPr="00220BA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C07FEF">
        <w:rPr>
          <w:rFonts w:ascii="Times New Roman" w:hAnsi="Times New Roman"/>
          <w:sz w:val="26"/>
          <w:szCs w:val="26"/>
          <w:lang w:val="uk-UA"/>
        </w:rPr>
        <w:t xml:space="preserve"> 2019 рік</w:t>
      </w:r>
      <w:r w:rsidR="003B672D">
        <w:rPr>
          <w:rFonts w:ascii="Times New Roman" w:hAnsi="Times New Roman"/>
          <w:sz w:val="26"/>
          <w:szCs w:val="26"/>
          <w:lang w:val="uk-UA"/>
        </w:rPr>
        <w:t xml:space="preserve"> визначено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, що протягом звітного періоду </w:t>
      </w:r>
      <w:r w:rsidR="003B672D">
        <w:rPr>
          <w:rFonts w:ascii="Times New Roman" w:hAnsi="Times New Roman"/>
          <w:sz w:val="26"/>
          <w:szCs w:val="26"/>
          <w:lang w:val="uk-UA"/>
        </w:rPr>
        <w:t>надійшло</w:t>
      </w:r>
      <w:r w:rsidR="00C07F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07FEF">
        <w:rPr>
          <w:rFonts w:ascii="Times New Roman" w:hAnsi="Times New Roman"/>
          <w:b/>
          <w:sz w:val="26"/>
          <w:szCs w:val="26"/>
          <w:lang w:val="uk-UA"/>
        </w:rPr>
        <w:t xml:space="preserve">23 398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C07FEF">
        <w:rPr>
          <w:rFonts w:ascii="Times New Roman" w:hAnsi="Times New Roman"/>
          <w:b/>
          <w:bCs/>
          <w:iCs/>
          <w:sz w:val="26"/>
          <w:szCs w:val="26"/>
          <w:lang w:val="uk-UA"/>
        </w:rPr>
        <w:t>293</w:t>
      </w:r>
      <w:r w:rsidR="00220B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C07FEF">
        <w:rPr>
          <w:rFonts w:ascii="Times New Roman" w:hAnsi="Times New Roman"/>
          <w:bCs/>
          <w:iCs/>
          <w:sz w:val="26"/>
          <w:szCs w:val="26"/>
          <w:lang w:val="uk-UA"/>
        </w:rPr>
        <w:t>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</w:t>
      </w:r>
      <w:r w:rsidR="003B672D">
        <w:rPr>
          <w:rFonts w:ascii="Times New Roman" w:hAnsi="Times New Roman"/>
          <w:bCs/>
          <w:iCs/>
          <w:sz w:val="26"/>
          <w:szCs w:val="26"/>
          <w:lang w:val="uk-UA"/>
        </w:rPr>
        <w:t xml:space="preserve">забезпечення безкоштовними продуктовими наборами,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надійшло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C07FEF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22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C07FEF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звернення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C07FEF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14</w:t>
      </w:r>
      <w:r w:rsidR="00220BA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C07FEF">
        <w:rPr>
          <w:rFonts w:ascii="Times New Roman" w:hAnsi="Times New Roman"/>
          <w:b/>
          <w:sz w:val="26"/>
          <w:szCs w:val="26"/>
          <w:lang w:val="uk-UA"/>
        </w:rPr>
        <w:t>538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3B672D">
        <w:rPr>
          <w:rFonts w:ascii="Times New Roman" w:hAnsi="Times New Roman"/>
          <w:sz w:val="26"/>
          <w:szCs w:val="26"/>
          <w:lang w:val="uk-UA"/>
        </w:rPr>
        <w:t>, забезпечення перевезення інвалідів спецавтотранспортом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="009A38C6">
        <w:rPr>
          <w:rFonts w:ascii="Times New Roman" w:hAnsi="Times New Roman"/>
          <w:sz w:val="26"/>
          <w:szCs w:val="26"/>
          <w:lang w:val="uk-UA"/>
        </w:rPr>
        <w:t>центру та</w:t>
      </w:r>
      <w:r w:rsidR="009A38C6" w:rsidRPr="009A38C6">
        <w:t xml:space="preserve"> </w:t>
      </w:r>
      <w:r w:rsidR="009A38C6"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 w:rsidR="009A38C6">
        <w:rPr>
          <w:rFonts w:ascii="Times New Roman" w:hAnsi="Times New Roman"/>
          <w:sz w:val="26"/>
          <w:szCs w:val="26"/>
          <w:lang w:val="uk-UA"/>
        </w:rPr>
        <w:t>н</w:t>
      </w:r>
      <w:r w:rsidRPr="00A4157C">
        <w:rPr>
          <w:rFonts w:ascii="Times New Roman" w:hAnsi="Times New Roman"/>
          <w:sz w:val="26"/>
          <w:szCs w:val="26"/>
          <w:lang w:val="uk-UA"/>
        </w:rPr>
        <w:t>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C07FE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398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9A38C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C07FEF">
        <w:rPr>
          <w:rFonts w:ascii="Times New Roman" w:hAnsi="Times New Roman"/>
          <w:b/>
          <w:sz w:val="26"/>
          <w:szCs w:val="26"/>
          <w:lang w:val="uk-UA"/>
        </w:rPr>
        <w:t>22 169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C07FE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громадян надійшло</w:t>
      </w:r>
      <w:r w:rsidR="003475D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224</w:t>
      </w:r>
      <w:r w:rsidR="003475DB" w:rsidRPr="003475D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подяки</w:t>
      </w:r>
      <w:r w:rsidR="003475DB">
        <w:rPr>
          <w:rFonts w:ascii="Times New Roman" w:hAnsi="Times New Roman"/>
          <w:sz w:val="26"/>
          <w:szCs w:val="26"/>
          <w:lang w:val="uk-UA"/>
        </w:rPr>
        <w:t xml:space="preserve"> за надання соціальних послуг.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>23</w:t>
      </w:r>
      <w:r w:rsidR="003B672D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>398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0E0893" w:rsidRPr="005D59AC" w:rsidRDefault="000E08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>21 600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EE105D">
        <w:rPr>
          <w:rFonts w:ascii="Times New Roman" w:hAnsi="Times New Roman"/>
          <w:bCs/>
          <w:iCs/>
          <w:sz w:val="26"/>
          <w:szCs w:val="26"/>
          <w:lang w:val="uk-UA"/>
        </w:rPr>
        <w:t>92,3</w:t>
      </w:r>
      <w:r w:rsidR="00F431DF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>1 352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EE105D">
        <w:rPr>
          <w:rFonts w:ascii="Times New Roman" w:hAnsi="Times New Roman"/>
          <w:bCs/>
          <w:iCs/>
          <w:sz w:val="26"/>
          <w:szCs w:val="26"/>
          <w:lang w:val="uk-UA"/>
        </w:rPr>
        <w:t>5,8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E603B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358 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FE603B">
        <w:rPr>
          <w:rFonts w:ascii="Times New Roman" w:hAnsi="Times New Roman"/>
          <w:bCs/>
          <w:iCs/>
          <w:sz w:val="26"/>
          <w:szCs w:val="26"/>
          <w:lang w:val="uk-UA"/>
        </w:rPr>
        <w:t>, або 1,5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EE105D">
        <w:rPr>
          <w:rFonts w:ascii="Times New Roman" w:hAnsi="Times New Roman"/>
          <w:b/>
          <w:bCs/>
          <w:iCs/>
          <w:sz w:val="26"/>
          <w:szCs w:val="26"/>
          <w:lang w:val="uk-UA"/>
        </w:rPr>
        <w:t>88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звернень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EE105D">
        <w:rPr>
          <w:rFonts w:ascii="Times New Roman" w:hAnsi="Times New Roman"/>
          <w:bCs/>
          <w:iCs/>
          <w:sz w:val="26"/>
          <w:szCs w:val="26"/>
          <w:lang w:val="uk-UA"/>
        </w:rPr>
        <w:t>4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дієва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своєчасним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якісним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звернен</w:t>
      </w:r>
      <w:proofErr w:type="spellEnd"/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громадян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>. П</w:t>
      </w:r>
      <w:proofErr w:type="spellStart"/>
      <w:r w:rsidR="00D059A1" w:rsidRPr="00AA32DC">
        <w:rPr>
          <w:rFonts w:ascii="Times New Roman" w:hAnsi="Times New Roman"/>
          <w:sz w:val="26"/>
          <w:szCs w:val="26"/>
          <w:lang w:val="uk-UA"/>
        </w:rPr>
        <w:t>ри</w:t>
      </w:r>
      <w:proofErr w:type="spellEnd"/>
      <w:r w:rsidR="00D059A1" w:rsidRPr="00AA32DC">
        <w:rPr>
          <w:rFonts w:ascii="Times New Roman" w:hAnsi="Times New Roman"/>
          <w:sz w:val="26"/>
          <w:szCs w:val="26"/>
          <w:lang w:val="uk-UA"/>
        </w:rPr>
        <w:t xml:space="preserve"> потребі п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допомога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="00244E0C" w:rsidRPr="00244E0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244E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311">
        <w:rPr>
          <w:rFonts w:ascii="Times New Roman" w:hAnsi="Times New Roman" w:cs="Times New Roman"/>
          <w:b/>
          <w:sz w:val="26"/>
          <w:szCs w:val="26"/>
          <w:lang w:val="uk-UA"/>
        </w:rPr>
        <w:t>514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>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в силу фізичних особливостей потребують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072311">
        <w:rPr>
          <w:rFonts w:ascii="Times New Roman" w:hAnsi="Times New Roman" w:cs="Times New Roman"/>
          <w:b/>
          <w:sz w:val="26"/>
          <w:szCs w:val="26"/>
          <w:lang w:val="uk-UA"/>
        </w:rPr>
        <w:t>183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311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>Також від</w:t>
      </w:r>
      <w:r w:rsidR="0056389A">
        <w:rPr>
          <w:rFonts w:ascii="Times New Roman" w:hAnsi="Times New Roman" w:cs="Times New Roman"/>
          <w:sz w:val="26"/>
          <w:szCs w:val="26"/>
          <w:lang w:val="uk-UA"/>
        </w:rPr>
        <w:t xml:space="preserve">повідно до заявок 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6531">
        <w:rPr>
          <w:rFonts w:ascii="Times New Roman" w:hAnsi="Times New Roman" w:cs="Times New Roman"/>
          <w:b/>
          <w:sz w:val="26"/>
          <w:szCs w:val="26"/>
          <w:lang w:val="uk-UA"/>
        </w:rPr>
        <w:t>801</w:t>
      </w:r>
      <w:r w:rsidR="00016531">
        <w:rPr>
          <w:rFonts w:ascii="Times New Roman" w:hAnsi="Times New Roman" w:cs="Times New Roman"/>
          <w:sz w:val="26"/>
          <w:szCs w:val="26"/>
          <w:lang w:val="uk-UA"/>
        </w:rPr>
        <w:t xml:space="preserve"> особи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з інвалідністю I та II групи, які досягли 18 – річного віку та дітей-інвалідів ста</w:t>
      </w:r>
      <w:bookmarkStart w:id="1" w:name="_GoBack"/>
      <w:bookmarkEnd w:id="1"/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рше 3-х років, хворих до встановлення групи і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нвалідності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</w:t>
      </w:r>
      <w:r w:rsidR="00DE656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6531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714110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016531">
        <w:rPr>
          <w:rFonts w:ascii="Times New Roman" w:hAnsi="Times New Roman" w:cs="Times New Roman"/>
          <w:b/>
          <w:sz w:val="26"/>
          <w:szCs w:val="26"/>
          <w:lang w:val="uk-UA"/>
        </w:rPr>
        <w:t>152</w:t>
      </w:r>
      <w:r w:rsidR="00714110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016531">
        <w:rPr>
          <w:rFonts w:ascii="Times New Roman" w:hAnsi="Times New Roman" w:cs="Times New Roman"/>
          <w:sz w:val="26"/>
          <w:szCs w:val="26"/>
          <w:lang w:val="uk-UA"/>
        </w:rPr>
        <w:t>перевезення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56389A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C606C" wp14:editId="061BFD15">
                <wp:simplePos x="0" y="0"/>
                <wp:positionH relativeFrom="column">
                  <wp:posOffset>584835</wp:posOffset>
                </wp:positionH>
                <wp:positionV relativeFrom="paragraph">
                  <wp:posOffset>1905</wp:posOffset>
                </wp:positionV>
                <wp:extent cx="2847975" cy="1967865"/>
                <wp:effectExtent l="19050" t="0" r="47625" b="1333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967865"/>
                        </a:xfrm>
                        <a:prstGeom prst="hexagon">
                          <a:avLst>
                            <a:gd name="adj" fmla="val 27222"/>
                            <a:gd name="vf" fmla="val 115470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DE6568" w:rsidP="003F1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        </w:t>
                            </w:r>
                            <w:r w:rsidR="003F12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801</w:t>
                            </w:r>
                          </w:p>
                          <w:p w:rsidR="0024382C" w:rsidRPr="003A5178" w:rsidRDefault="00893CE3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</w:t>
                            </w:r>
                            <w:r w:rsidR="003F12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соба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DC68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з інвалідністю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="00BA2C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групи, які досягли 18 – річного віку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дітей-інвалідів с</w:t>
                            </w:r>
                            <w:r w:rsidR="0013552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тарше 3-х </w:t>
                            </w:r>
                            <w:r w:rsidR="0071411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років</w:t>
                            </w:r>
                            <w:r w:rsidR="0013552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,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хворих до встановлення групи ін</w:t>
                            </w:r>
                            <w:r w:rsidR="002769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валідності, хворих, які постійно перебувають на гемодіалізі</w:t>
                            </w:r>
                            <w:r w:rsidR="007E1D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тощо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C606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left:0;text-align:left;margin-left:46.05pt;margin-top:.15pt;width:224.25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" adj="4063" fillcolor="#95b3d7">
                <v:textbox>
                  <w:txbxContent>
                    <w:p w:rsidR="0024382C" w:rsidRPr="003A5178" w:rsidRDefault="00DE6568" w:rsidP="003F1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                </w:t>
                      </w:r>
                      <w:r w:rsidR="003F12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801</w:t>
                      </w:r>
                    </w:p>
                    <w:p w:rsidR="0024382C" w:rsidRPr="003A5178" w:rsidRDefault="00893CE3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о</w:t>
                      </w:r>
                      <w:r w:rsidR="003F12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соба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DC68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з інвалідністю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II</w:t>
                      </w:r>
                      <w:r w:rsidR="00BA2C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групи, які досягли 18 – річного віку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дітей-інвалідів с</w:t>
                      </w:r>
                      <w:r w:rsidR="0013552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тарше 3-х </w:t>
                      </w:r>
                      <w:r w:rsidR="0071411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років</w:t>
                      </w:r>
                      <w:r w:rsidR="0013552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,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хворих до встановлення групи ін</w:t>
                      </w:r>
                      <w:r w:rsidR="002769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валідності, хворих, які постійно перебувають на гемодіалізі</w:t>
                      </w:r>
                      <w:r w:rsidR="007E1D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тощо</w:t>
                      </w:r>
                    </w:p>
                  </w:txbxContent>
                </v:textbox>
              </v:shape>
            </w:pict>
          </mc:Fallback>
        </mc:AlternateContent>
      </w:r>
    </w:p>
    <w:p w:rsidR="00E510A1" w:rsidRPr="00557743" w:rsidRDefault="00E510A1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56389A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D1F94" wp14:editId="4DB13FAA">
                <wp:simplePos x="0" y="0"/>
                <wp:positionH relativeFrom="column">
                  <wp:posOffset>4328795</wp:posOffset>
                </wp:positionH>
                <wp:positionV relativeFrom="paragraph">
                  <wp:posOffset>144145</wp:posOffset>
                </wp:positionV>
                <wp:extent cx="1666240" cy="754380"/>
                <wp:effectExtent l="0" t="0" r="10160" b="2667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75438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3F12D5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20 152</w:t>
                            </w:r>
                          </w:p>
                          <w:p w:rsidR="0024382C" w:rsidRPr="00ED37A5" w:rsidRDefault="0024382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D3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перевезен</w:t>
                            </w:r>
                            <w:r w:rsidR="00ED37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D1F94" id="Oval 25" o:spid="_x0000_s1027" style="position:absolute;left:0;text-align:left;margin-left:340.85pt;margin-top:11.35pt;width:131.2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" fillcolor="#95b3d7">
                <v:textbox>
                  <w:txbxContent>
                    <w:p w:rsidR="0024382C" w:rsidRPr="003A5178" w:rsidRDefault="003F12D5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20 152</w:t>
                      </w:r>
                    </w:p>
                    <w:p w:rsidR="0024382C" w:rsidRPr="00ED37A5" w:rsidRDefault="0024382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D38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перевезен</w:t>
                      </w:r>
                      <w:r w:rsidR="00ED37A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ня</w:t>
                      </w:r>
                    </w:p>
                  </w:txbxContent>
                </v:textbox>
              </v:oval>
            </w:pict>
          </mc:Fallback>
        </mc:AlternateContent>
      </w:r>
      <w:r w:rsidR="004E38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275590</wp:posOffset>
                </wp:positionV>
                <wp:extent cx="533400" cy="485775"/>
                <wp:effectExtent l="0" t="38100" r="38100" b="6667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ightArrow">
                          <a:avLst>
                            <a:gd name="adj1" fmla="val 50000"/>
                            <a:gd name="adj2" fmla="val 27451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629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282.3pt;margin-top:21.7pt;width:4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AW7Yxh&#10;3wAAAAoBAAAPAAAAAAAAAAAAAAAAAJ8EAABkcnMvZG93bnJldi54bWxQSwUGAAAAAAQABADzAAAA&#10;qwUAAAAA&#10;" fillcolor="#d6e3bc"/>
            </w:pict>
          </mc:Fallback>
        </mc:AlternateConten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153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="000714CB">
        <w:rPr>
          <w:rFonts w:ascii="Times New Roman" w:hAnsi="Times New Roman"/>
          <w:b/>
          <w:sz w:val="26"/>
          <w:szCs w:val="26"/>
          <w:lang w:val="uk-UA"/>
        </w:rPr>
        <w:t>677</w:t>
      </w:r>
      <w:r w:rsidR="003B64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B644F">
        <w:rPr>
          <w:rFonts w:ascii="Times New Roman" w:hAnsi="Times New Roman"/>
          <w:sz w:val="26"/>
          <w:szCs w:val="26"/>
          <w:lang w:val="uk-UA"/>
        </w:rPr>
        <w:t>осіб</w:t>
      </w:r>
      <w:r>
        <w:rPr>
          <w:rFonts w:ascii="Times New Roman" w:hAnsi="Times New Roman"/>
          <w:sz w:val="26"/>
          <w:szCs w:val="26"/>
          <w:lang w:val="uk-UA"/>
        </w:rPr>
        <w:t>, які потребують надання соціальної послуги догляд вдома.</w:t>
      </w:r>
      <w:r w:rsidR="00E97EC8" w:rsidRPr="00E97EC8">
        <w:t xml:space="preserve"> </w:t>
      </w:r>
    </w:p>
    <w:p w:rsidR="00862544" w:rsidRPr="00FC045D" w:rsidRDefault="00E97EC8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5F93"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181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14CB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175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– щодо надання соціальних послуг,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</w:t>
      </w:r>
      <w:r w:rsidR="00907EFF"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</w:t>
      </w:r>
      <w:r w:rsidR="00132296">
        <w:rPr>
          <w:rFonts w:ascii="Times New Roman" w:hAnsi="Times New Roman"/>
          <w:sz w:val="26"/>
          <w:szCs w:val="26"/>
          <w:lang w:val="uk-UA"/>
        </w:rPr>
        <w:t xml:space="preserve">по наданню соціальних послуг та </w:t>
      </w:r>
      <w:r w:rsidR="000714CB">
        <w:rPr>
          <w:rFonts w:ascii="Times New Roman" w:hAnsi="Times New Roman"/>
          <w:b/>
          <w:sz w:val="26"/>
          <w:szCs w:val="26"/>
          <w:lang w:val="uk-UA"/>
        </w:rPr>
        <w:t>5</w:t>
      </w:r>
      <w:r w:rsidR="000714CB">
        <w:rPr>
          <w:rFonts w:ascii="Times New Roman" w:hAnsi="Times New Roman"/>
          <w:sz w:val="26"/>
          <w:szCs w:val="26"/>
          <w:lang w:val="uk-UA"/>
        </w:rPr>
        <w:t xml:space="preserve"> подяк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від отримувачів соціальних послуг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113</w:t>
      </w:r>
      <w:r w:rsidR="001322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яких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до відділення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53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681</w:t>
      </w:r>
      <w:r w:rsidR="000714CB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малозабезпечений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0714CB">
        <w:rPr>
          <w:rFonts w:ascii="Times New Roman" w:hAnsi="Times New Roman" w:cs="Times New Roman"/>
          <w:sz w:val="26"/>
          <w:szCs w:val="26"/>
          <w:lang w:val="uk-UA"/>
        </w:rPr>
        <w:t>ин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60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осіб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1 836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411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835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– щодо забезпечення безкоштовними продуктовими наборами,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78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596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щодо надання </w:t>
      </w:r>
      <w:r w:rsidR="00F4150F" w:rsidRPr="00F4150F">
        <w:rPr>
          <w:rFonts w:ascii="Times New Roman" w:hAnsi="Times New Roman" w:cs="Times New Roman"/>
          <w:sz w:val="26"/>
          <w:szCs w:val="26"/>
          <w:lang w:val="uk-UA"/>
        </w:rPr>
        <w:t xml:space="preserve">перукарських послуг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 xml:space="preserve">послуг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з ремонту одягу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315 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045D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результатами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розгляду задоволено </w:t>
      </w:r>
      <w:r w:rsidR="000714CB">
        <w:rPr>
          <w:rFonts w:ascii="Times New Roman" w:hAnsi="Times New Roman" w:cs="Times New Roman"/>
          <w:b/>
          <w:sz w:val="26"/>
          <w:szCs w:val="26"/>
          <w:lang w:val="uk-UA"/>
        </w:rPr>
        <w:t>1 824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7C28F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9C4D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13E9E" w:rsidRPr="00C15F93" w:rsidSect="0056140B">
      <w:headerReference w:type="default" r:id="rId10"/>
      <w:foot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89" w:rsidRDefault="00651A89" w:rsidP="00E510A1">
      <w:pPr>
        <w:spacing w:after="0" w:line="240" w:lineRule="auto"/>
      </w:pPr>
      <w:r>
        <w:separator/>
      </w:r>
    </w:p>
  </w:endnote>
  <w:endnote w:type="continuationSeparator" w:id="0">
    <w:p w:rsidR="00651A89" w:rsidRDefault="00651A89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89" w:rsidRDefault="00651A89" w:rsidP="00E510A1">
      <w:pPr>
        <w:spacing w:after="0" w:line="240" w:lineRule="auto"/>
      </w:pPr>
      <w:r>
        <w:separator/>
      </w:r>
    </w:p>
  </w:footnote>
  <w:footnote w:type="continuationSeparator" w:id="0">
    <w:p w:rsidR="00651A89" w:rsidRDefault="00651A89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714110" w:rsidRPr="00714110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7"/>
    <w:rsid w:val="00007AD1"/>
    <w:rsid w:val="0001407E"/>
    <w:rsid w:val="00016531"/>
    <w:rsid w:val="00023673"/>
    <w:rsid w:val="000308C5"/>
    <w:rsid w:val="00066678"/>
    <w:rsid w:val="000714CB"/>
    <w:rsid w:val="00072311"/>
    <w:rsid w:val="00086E6B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79CF"/>
    <w:rsid w:val="0012214D"/>
    <w:rsid w:val="00132296"/>
    <w:rsid w:val="00135525"/>
    <w:rsid w:val="00152917"/>
    <w:rsid w:val="00152C17"/>
    <w:rsid w:val="00164E11"/>
    <w:rsid w:val="001706CB"/>
    <w:rsid w:val="00172AD3"/>
    <w:rsid w:val="00186264"/>
    <w:rsid w:val="00190808"/>
    <w:rsid w:val="001C15CF"/>
    <w:rsid w:val="001C325D"/>
    <w:rsid w:val="001C3F45"/>
    <w:rsid w:val="001C6622"/>
    <w:rsid w:val="001E059D"/>
    <w:rsid w:val="001F2B1C"/>
    <w:rsid w:val="00202834"/>
    <w:rsid w:val="00220BAC"/>
    <w:rsid w:val="002326AB"/>
    <w:rsid w:val="0024382C"/>
    <w:rsid w:val="00244E0C"/>
    <w:rsid w:val="00245B8B"/>
    <w:rsid w:val="00255B46"/>
    <w:rsid w:val="00256AAD"/>
    <w:rsid w:val="002700FF"/>
    <w:rsid w:val="00274BF5"/>
    <w:rsid w:val="00276944"/>
    <w:rsid w:val="00284ED9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35877"/>
    <w:rsid w:val="003375B4"/>
    <w:rsid w:val="003415ED"/>
    <w:rsid w:val="003429F7"/>
    <w:rsid w:val="003475DB"/>
    <w:rsid w:val="003557EC"/>
    <w:rsid w:val="00372FAD"/>
    <w:rsid w:val="00385EC1"/>
    <w:rsid w:val="00396090"/>
    <w:rsid w:val="003B0FFE"/>
    <w:rsid w:val="003B644F"/>
    <w:rsid w:val="003B672D"/>
    <w:rsid w:val="003D383D"/>
    <w:rsid w:val="003D4297"/>
    <w:rsid w:val="003E3250"/>
    <w:rsid w:val="003E45E0"/>
    <w:rsid w:val="003F0B5C"/>
    <w:rsid w:val="003F0C90"/>
    <w:rsid w:val="003F1002"/>
    <w:rsid w:val="003F12D5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8B6"/>
    <w:rsid w:val="004E3A99"/>
    <w:rsid w:val="004E641F"/>
    <w:rsid w:val="004F3D4A"/>
    <w:rsid w:val="004F77AD"/>
    <w:rsid w:val="00512DC9"/>
    <w:rsid w:val="00546219"/>
    <w:rsid w:val="005524A7"/>
    <w:rsid w:val="00554992"/>
    <w:rsid w:val="0056140B"/>
    <w:rsid w:val="00561DBE"/>
    <w:rsid w:val="0056389A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51A89"/>
    <w:rsid w:val="00673214"/>
    <w:rsid w:val="0067450D"/>
    <w:rsid w:val="00676DFC"/>
    <w:rsid w:val="006931C7"/>
    <w:rsid w:val="006A2A1C"/>
    <w:rsid w:val="006B3EB2"/>
    <w:rsid w:val="006B5CE9"/>
    <w:rsid w:val="006C22A1"/>
    <w:rsid w:val="006D252C"/>
    <w:rsid w:val="006E0D6C"/>
    <w:rsid w:val="007039C9"/>
    <w:rsid w:val="00713993"/>
    <w:rsid w:val="00714110"/>
    <w:rsid w:val="007169C6"/>
    <w:rsid w:val="00716CA5"/>
    <w:rsid w:val="007203AB"/>
    <w:rsid w:val="00723953"/>
    <w:rsid w:val="007262E4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28F2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26E78"/>
    <w:rsid w:val="0084337B"/>
    <w:rsid w:val="00846F5C"/>
    <w:rsid w:val="008511D8"/>
    <w:rsid w:val="00862544"/>
    <w:rsid w:val="00881D1C"/>
    <w:rsid w:val="00884B7C"/>
    <w:rsid w:val="00891272"/>
    <w:rsid w:val="00893CE3"/>
    <w:rsid w:val="008D0ED2"/>
    <w:rsid w:val="008D1313"/>
    <w:rsid w:val="008E0B6F"/>
    <w:rsid w:val="008F0C99"/>
    <w:rsid w:val="008F33EB"/>
    <w:rsid w:val="0090328C"/>
    <w:rsid w:val="00907EFF"/>
    <w:rsid w:val="00910E95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68A0"/>
    <w:rsid w:val="00980103"/>
    <w:rsid w:val="009A130D"/>
    <w:rsid w:val="009A38C6"/>
    <w:rsid w:val="009A7662"/>
    <w:rsid w:val="009B631C"/>
    <w:rsid w:val="009B6EFB"/>
    <w:rsid w:val="009C4DE2"/>
    <w:rsid w:val="009C6CA9"/>
    <w:rsid w:val="009D780C"/>
    <w:rsid w:val="009E13D1"/>
    <w:rsid w:val="009E3321"/>
    <w:rsid w:val="009F1FBD"/>
    <w:rsid w:val="009F2B3A"/>
    <w:rsid w:val="00A01F43"/>
    <w:rsid w:val="00A0394C"/>
    <w:rsid w:val="00A04280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431B"/>
    <w:rsid w:val="00AE7D54"/>
    <w:rsid w:val="00AF6C66"/>
    <w:rsid w:val="00B05067"/>
    <w:rsid w:val="00B06DAA"/>
    <w:rsid w:val="00B07E1C"/>
    <w:rsid w:val="00B17D48"/>
    <w:rsid w:val="00B362F5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01752"/>
    <w:rsid w:val="00C07FEF"/>
    <w:rsid w:val="00C1341C"/>
    <w:rsid w:val="00C15F93"/>
    <w:rsid w:val="00C170FD"/>
    <w:rsid w:val="00C234D9"/>
    <w:rsid w:val="00C23720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2C56"/>
    <w:rsid w:val="00CC667D"/>
    <w:rsid w:val="00CC6ADF"/>
    <w:rsid w:val="00CE43B8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E6568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97416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05D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35A80"/>
    <w:rsid w:val="00F4150F"/>
    <w:rsid w:val="00F431D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969F-64C0-4E54-A571-080F688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- 286</c:v>
                </c:pt>
                <c:pt idx="1">
                  <c:v>надання гуманітарної допомоги - 208</c:v>
                </c:pt>
                <c:pt idx="2">
                  <c:v>надання матеріальної допомоги - 58</c:v>
                </c:pt>
                <c:pt idx="3">
                  <c:v>надання продуктових наборів - 898</c:v>
                </c:pt>
                <c:pt idx="4">
                  <c:v>надання перукарських послуг - 598</c:v>
                </c:pt>
                <c:pt idx="5">
                  <c:v>надання послуг з ремонту одягу - 18</c:v>
                </c:pt>
                <c:pt idx="6">
                  <c:v>призначення соціального робітника - 282</c:v>
                </c:pt>
                <c:pt idx="7">
                  <c:v>допомога в оформленні документів - 189</c:v>
                </c:pt>
                <c:pt idx="8">
                  <c:v>поселення до спеціалізованого будинку - 120</c:v>
                </c:pt>
                <c:pt idx="9">
                  <c:v>транспортне обслуговування - 927</c:v>
                </c:pt>
                <c:pt idx="10">
                  <c:v>інше - 842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286</c:v>
                </c:pt>
                <c:pt idx="1">
                  <c:v>208</c:v>
                </c:pt>
                <c:pt idx="2">
                  <c:v>58</c:v>
                </c:pt>
                <c:pt idx="3">
                  <c:v>898</c:v>
                </c:pt>
                <c:pt idx="4">
                  <c:v>598</c:v>
                </c:pt>
                <c:pt idx="5">
                  <c:v>18</c:v>
                </c:pt>
                <c:pt idx="6">
                  <c:v>282</c:v>
                </c:pt>
                <c:pt idx="7">
                  <c:v>189</c:v>
                </c:pt>
                <c:pt idx="8">
                  <c:v>120</c:v>
                </c:pt>
                <c:pt idx="9">
                  <c:v>927</c:v>
                </c:pt>
                <c:pt idx="10">
                  <c:v>842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21600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028209556706968E-3"/>
                  <c:y val="-4.88656195462478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112838226827871E-3"/>
                  <c:y val="-4.9556004452323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845135290731149E-2"/>
                      <c:h val="0.10122164048865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214046192"/>
        <c:axId val="-1214049456"/>
        <c:axId val="-1104862640"/>
      </c:bar3DChart>
      <c:catAx>
        <c:axId val="-121404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214049456"/>
        <c:crosses val="autoZero"/>
        <c:auto val="1"/>
        <c:lblAlgn val="ctr"/>
        <c:lblOffset val="100"/>
        <c:noMultiLvlLbl val="0"/>
      </c:catAx>
      <c:valAx>
        <c:axId val="-1214049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214046192"/>
        <c:crosses val="autoZero"/>
        <c:crossBetween val="between"/>
      </c:valAx>
      <c:serAx>
        <c:axId val="-1104862640"/>
        <c:scaling>
          <c:orientation val="minMax"/>
        </c:scaling>
        <c:delete val="1"/>
        <c:axPos val="b"/>
        <c:majorTickMark val="out"/>
        <c:minorTickMark val="none"/>
        <c:tickLblPos val="none"/>
        <c:crossAx val="-1214049456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1146-6965-428E-B6EA-7637E16F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10</cp:revision>
  <cp:lastPrinted>2019-07-03T12:07:00Z</cp:lastPrinted>
  <dcterms:created xsi:type="dcterms:W3CDTF">2020-01-09T13:19:00Z</dcterms:created>
  <dcterms:modified xsi:type="dcterms:W3CDTF">2020-01-20T07:19:00Z</dcterms:modified>
</cp:coreProperties>
</file>